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3D3" w:rsidRPr="00A44B24" w:rsidRDefault="003B63D3" w:rsidP="003B63D3">
      <w:pPr>
        <w:widowControl w:val="0"/>
        <w:autoSpaceDE w:val="0"/>
        <w:autoSpaceDN w:val="0"/>
        <w:adjustRightInd w:val="0"/>
        <w:spacing w:after="240" w:line="360" w:lineRule="auto"/>
        <w:contextualSpacing/>
        <w:jc w:val="right"/>
        <w:rPr>
          <w:i/>
          <w:sz w:val="28"/>
          <w:szCs w:val="28"/>
          <w:lang w:val="en-US"/>
        </w:rPr>
      </w:pPr>
      <w:r w:rsidRPr="00A44B24">
        <w:rPr>
          <w:i/>
          <w:sz w:val="28"/>
          <w:szCs w:val="28"/>
          <w:lang w:val="en-US"/>
        </w:rPr>
        <w:t>Figure 1</w:t>
      </w:r>
    </w:p>
    <w:p w:rsidR="003B63D3" w:rsidRPr="00A44B24" w:rsidRDefault="003B63D3" w:rsidP="003B63D3">
      <w:pPr>
        <w:jc w:val="center"/>
        <w:rPr>
          <w:i/>
          <w:iCs/>
          <w:color w:val="000000"/>
          <w:sz w:val="28"/>
          <w:szCs w:val="28"/>
          <w:lang w:val="en-US"/>
        </w:rPr>
      </w:pPr>
      <w:r w:rsidRPr="00A44B24">
        <w:rPr>
          <w:rStyle w:val="anegp0gi0b9av8jahpyh"/>
          <w:i/>
          <w:iCs/>
          <w:color w:val="000000"/>
          <w:sz w:val="28"/>
          <w:szCs w:val="28"/>
          <w:lang w:val="en-US"/>
        </w:rPr>
        <w:t>MERCOSUR</w:t>
      </w:r>
      <w:r w:rsidRPr="00A44B24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A44B24">
        <w:rPr>
          <w:rStyle w:val="anegp0gi0b9av8jahpyh"/>
          <w:i/>
          <w:iCs/>
          <w:color w:val="000000"/>
          <w:sz w:val="28"/>
          <w:szCs w:val="28"/>
          <w:lang w:val="en-US"/>
        </w:rPr>
        <w:t>Project</w:t>
      </w:r>
      <w:r w:rsidRPr="00A44B24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A44B24">
        <w:rPr>
          <w:rStyle w:val="anegp0gi0b9av8jahpyh"/>
          <w:i/>
          <w:iCs/>
          <w:color w:val="000000"/>
          <w:sz w:val="28"/>
          <w:szCs w:val="28"/>
          <w:lang w:val="en-US"/>
        </w:rPr>
        <w:t>Participant</w:t>
      </w:r>
      <w:r w:rsidRPr="00A44B24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A44B24">
        <w:rPr>
          <w:rStyle w:val="anegp0gi0b9av8jahpyh"/>
          <w:i/>
          <w:iCs/>
          <w:color w:val="000000"/>
          <w:sz w:val="28"/>
          <w:szCs w:val="28"/>
          <w:lang w:val="en-US"/>
        </w:rPr>
        <w:t>Card</w:t>
      </w:r>
    </w:p>
    <w:p w:rsidR="003B63D3" w:rsidRPr="00A44B24" w:rsidRDefault="003B63D3" w:rsidP="003B63D3">
      <w:pPr>
        <w:jc w:val="center"/>
        <w:rPr>
          <w:rStyle w:val="anegp0gi0b9av8jahpyh"/>
          <w:i/>
          <w:iCs/>
          <w:color w:val="000000"/>
          <w:sz w:val="28"/>
          <w:szCs w:val="28"/>
          <w:lang w:val="en-US"/>
        </w:rPr>
      </w:pPr>
      <w:r w:rsidRPr="00A44B24">
        <w:rPr>
          <w:rStyle w:val="anegp0gi0b9av8jahpyh"/>
          <w:i/>
          <w:iCs/>
          <w:color w:val="000000"/>
          <w:sz w:val="28"/>
          <w:szCs w:val="28"/>
          <w:lang w:val="en-US"/>
        </w:rPr>
        <w:t>(according</w:t>
      </w:r>
      <w:r w:rsidRPr="00A44B24">
        <w:rPr>
          <w:i/>
          <w:iCs/>
          <w:color w:val="000000"/>
          <w:sz w:val="28"/>
          <w:szCs w:val="28"/>
          <w:lang w:val="en-US"/>
        </w:rPr>
        <w:t xml:space="preserve"> to </w:t>
      </w:r>
      <w:r w:rsidRPr="00A44B24">
        <w:rPr>
          <w:rStyle w:val="anegp0gi0b9av8jahpyh"/>
          <w:i/>
          <w:iCs/>
          <w:color w:val="000000"/>
          <w:sz w:val="28"/>
          <w:szCs w:val="28"/>
          <w:lang w:val="en-US"/>
        </w:rPr>
        <w:t>statistics</w:t>
      </w:r>
      <w:r w:rsidRPr="00A44B24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A44B24">
        <w:rPr>
          <w:rStyle w:val="anegp0gi0b9av8jahpyh"/>
          <w:i/>
          <w:iCs/>
          <w:color w:val="000000"/>
          <w:sz w:val="28"/>
          <w:szCs w:val="28"/>
          <w:lang w:val="en-US"/>
        </w:rPr>
        <w:t>for</w:t>
      </w:r>
      <w:r w:rsidRPr="00A44B24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A44B24">
        <w:rPr>
          <w:rStyle w:val="anegp0gi0b9av8jahpyh"/>
          <w:i/>
          <w:iCs/>
          <w:color w:val="000000"/>
          <w:sz w:val="28"/>
          <w:szCs w:val="28"/>
          <w:lang w:val="en-US"/>
        </w:rPr>
        <w:t>2025)</w:t>
      </w:r>
    </w:p>
    <w:p w:rsidR="003B63D3" w:rsidRPr="00A44B24" w:rsidRDefault="003B63D3" w:rsidP="003B63D3">
      <w:pPr>
        <w:jc w:val="center"/>
        <w:rPr>
          <w:b/>
          <w:bCs/>
          <w:i/>
          <w:iCs/>
          <w:sz w:val="28"/>
          <w:szCs w:val="28"/>
          <w:lang w:val="en-US"/>
        </w:rPr>
      </w:pPr>
    </w:p>
    <w:p w:rsidR="003B63D3" w:rsidRPr="00A44B24" w:rsidRDefault="003B63D3" w:rsidP="003B63D3">
      <w:pPr>
        <w:rPr>
          <w:b/>
          <w:bCs/>
          <w:sz w:val="28"/>
          <w:szCs w:val="28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44B24">
        <w:rPr>
          <w:b/>
          <w:bCs/>
          <w:noProof/>
          <w:sz w:val="28"/>
          <w:szCs w:val="28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drawing>
          <wp:inline distT="0" distB="0" distL="0" distR="0" wp14:anchorId="4AE3A340" wp14:editId="19FABDF9">
            <wp:extent cx="5645150" cy="8470540"/>
            <wp:effectExtent l="12700" t="12700" r="6350" b="13335"/>
            <wp:docPr id="4191705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1705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9224" cy="8536673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B63D3" w:rsidRPr="00A44B24" w:rsidRDefault="003B63D3" w:rsidP="003B63D3">
      <w:pPr>
        <w:jc w:val="both"/>
        <w:rPr>
          <w:i/>
          <w:sz w:val="20"/>
          <w:szCs w:val="20"/>
        </w:rPr>
      </w:pPr>
    </w:p>
    <w:p w:rsidR="003B63D3" w:rsidRPr="00A44B24" w:rsidRDefault="003B63D3" w:rsidP="003B63D3">
      <w:pPr>
        <w:jc w:val="both"/>
        <w:rPr>
          <w:sz w:val="20"/>
          <w:szCs w:val="20"/>
          <w:lang w:val="en-US"/>
        </w:rPr>
      </w:pPr>
      <w:r w:rsidRPr="00A44B24">
        <w:rPr>
          <w:rStyle w:val="anegp0gi0b9av8jahpyh"/>
          <w:i/>
          <w:iCs/>
          <w:color w:val="000000"/>
          <w:sz w:val="20"/>
          <w:szCs w:val="20"/>
          <w:lang w:val="en-US"/>
        </w:rPr>
        <w:t>Source</w:t>
      </w:r>
      <w:r w:rsidRPr="00A44B24">
        <w:rPr>
          <w:i/>
          <w:iCs/>
          <w:sz w:val="20"/>
          <w:szCs w:val="20"/>
          <w:lang w:val="en-US"/>
        </w:rPr>
        <w:t xml:space="preserve">: </w:t>
      </w:r>
      <w:r w:rsidRPr="00A44B24">
        <w:rPr>
          <w:sz w:val="20"/>
          <w:szCs w:val="20"/>
          <w:lang w:val="en-US"/>
        </w:rPr>
        <w:t xml:space="preserve">CFR.org Editors. Mercosur: South America’s Fractious Trade Bloc. – 12 December 2024. URL: </w:t>
      </w:r>
      <w:hyperlink r:id="rId5" w:anchor="chapter-title-0-3" w:history="1">
        <w:r w:rsidRPr="00A44B24">
          <w:rPr>
            <w:rStyle w:val="a3"/>
            <w:sz w:val="20"/>
            <w:szCs w:val="20"/>
            <w:lang w:val="en-US"/>
          </w:rPr>
          <w:t>https://www.cfr.org/backgrounder/mercosur-south-americas-fractious-trade-bloc#chapter-title-0-3</w:t>
        </w:r>
      </w:hyperlink>
      <w:r w:rsidRPr="00A44B24">
        <w:rPr>
          <w:sz w:val="20"/>
          <w:szCs w:val="20"/>
          <w:lang w:val="en-US"/>
        </w:rPr>
        <w:t xml:space="preserve"> (Accessed 12. 05. 2025).</w:t>
      </w:r>
    </w:p>
    <w:p w:rsidR="003B63D3" w:rsidRPr="003B63D3" w:rsidRDefault="003B63D3" w:rsidP="003B63D3">
      <w:pPr>
        <w:spacing w:line="360" w:lineRule="auto"/>
        <w:jc w:val="right"/>
        <w:rPr>
          <w:rStyle w:val="ezkurwreuab5ozgtqnkl"/>
          <w:rFonts w:eastAsiaTheme="majorEastAsia"/>
          <w:i/>
          <w:iCs/>
          <w:color w:val="000000"/>
          <w:sz w:val="28"/>
          <w:szCs w:val="28"/>
        </w:rPr>
      </w:pPr>
    </w:p>
    <w:p w:rsidR="003B63D3" w:rsidRDefault="003B63D3" w:rsidP="003B63D3">
      <w:pPr>
        <w:spacing w:line="360" w:lineRule="auto"/>
        <w:jc w:val="right"/>
        <w:rPr>
          <w:rStyle w:val="ezkurwreuab5ozgtqnkl"/>
          <w:rFonts w:eastAsiaTheme="majorEastAsia"/>
          <w:i/>
          <w:iCs/>
          <w:color w:val="000000"/>
          <w:sz w:val="28"/>
          <w:szCs w:val="28"/>
          <w:lang w:val="en-US"/>
        </w:rPr>
      </w:pPr>
    </w:p>
    <w:p w:rsidR="003B63D3" w:rsidRDefault="003B63D3" w:rsidP="003B63D3">
      <w:pPr>
        <w:spacing w:line="360" w:lineRule="auto"/>
        <w:jc w:val="right"/>
        <w:rPr>
          <w:rStyle w:val="ezkurwreuab5ozgtqnkl"/>
          <w:rFonts w:eastAsiaTheme="majorEastAsia"/>
          <w:i/>
          <w:iCs/>
          <w:color w:val="000000"/>
          <w:sz w:val="28"/>
          <w:szCs w:val="28"/>
          <w:lang w:val="en-US"/>
        </w:rPr>
      </w:pPr>
    </w:p>
    <w:p w:rsidR="003B63D3" w:rsidRDefault="003B63D3" w:rsidP="003B63D3">
      <w:pPr>
        <w:spacing w:line="360" w:lineRule="auto"/>
        <w:jc w:val="right"/>
        <w:rPr>
          <w:rStyle w:val="ezkurwreuab5ozgtqnkl"/>
          <w:rFonts w:eastAsiaTheme="majorEastAsia"/>
          <w:i/>
          <w:iCs/>
          <w:color w:val="000000"/>
          <w:sz w:val="28"/>
          <w:szCs w:val="28"/>
          <w:lang w:val="en-US"/>
        </w:rPr>
      </w:pPr>
    </w:p>
    <w:p w:rsidR="003B63D3" w:rsidRPr="00A44B24" w:rsidRDefault="003B63D3" w:rsidP="003B63D3">
      <w:pPr>
        <w:spacing w:line="360" w:lineRule="auto"/>
        <w:jc w:val="right"/>
        <w:rPr>
          <w:rStyle w:val="ezkurwreuab5ozgtqnkl"/>
          <w:rFonts w:eastAsiaTheme="majorEastAsia"/>
          <w:i/>
          <w:iCs/>
          <w:color w:val="000000"/>
          <w:sz w:val="28"/>
          <w:szCs w:val="28"/>
          <w:lang w:val="en-US"/>
        </w:rPr>
      </w:pPr>
      <w:r w:rsidRPr="00A44B24">
        <w:rPr>
          <w:rStyle w:val="ezkurwreuab5ozgtqnkl"/>
          <w:rFonts w:eastAsiaTheme="majorEastAsia"/>
          <w:i/>
          <w:iCs/>
          <w:color w:val="000000"/>
          <w:sz w:val="28"/>
          <w:szCs w:val="28"/>
          <w:lang w:val="en-US"/>
        </w:rPr>
        <w:t>Table</w:t>
      </w:r>
      <w:r w:rsidRPr="00A44B24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A44B24">
        <w:rPr>
          <w:rStyle w:val="ezkurwreuab5ozgtqnkl"/>
          <w:rFonts w:eastAsiaTheme="majorEastAsia"/>
          <w:i/>
          <w:iCs/>
          <w:color w:val="000000"/>
          <w:sz w:val="28"/>
          <w:szCs w:val="28"/>
          <w:lang w:val="en-US"/>
        </w:rPr>
        <w:t>1</w:t>
      </w:r>
    </w:p>
    <w:p w:rsidR="003B63D3" w:rsidRPr="00614B26" w:rsidRDefault="003B63D3" w:rsidP="003B63D3">
      <w:pPr>
        <w:jc w:val="right"/>
        <w:rPr>
          <w:rStyle w:val="ezkurwreuab5ozgtqnkl"/>
          <w:rFonts w:eastAsiaTheme="majorEastAsia"/>
          <w:i/>
          <w:iCs/>
          <w:color w:val="000000"/>
          <w:sz w:val="28"/>
          <w:szCs w:val="28"/>
          <w:lang w:val="en-US"/>
        </w:rPr>
      </w:pPr>
    </w:p>
    <w:p w:rsidR="003B63D3" w:rsidRPr="00A44B24" w:rsidRDefault="003B63D3" w:rsidP="003B63D3">
      <w:pPr>
        <w:spacing w:line="360" w:lineRule="auto"/>
        <w:jc w:val="center"/>
        <w:rPr>
          <w:rStyle w:val="ezkurwreuab5ozgtqnkl"/>
          <w:i/>
          <w:iCs/>
          <w:color w:val="000000" w:themeColor="text1"/>
          <w:sz w:val="28"/>
          <w:szCs w:val="28"/>
          <w:lang w:val="en-US"/>
        </w:rPr>
      </w:pPr>
      <w:r w:rsidRPr="00A44B24">
        <w:rPr>
          <w:rStyle w:val="anegp0gi0b9av8jahpyh"/>
          <w:i/>
          <w:iCs/>
          <w:color w:val="000000"/>
          <w:sz w:val="28"/>
          <w:szCs w:val="28"/>
          <w:lang w:val="en-US"/>
        </w:rPr>
        <w:t>MERCOSUR</w:t>
      </w:r>
      <w:r w:rsidRPr="00A44B24">
        <w:rPr>
          <w:i/>
          <w:iCs/>
          <w:color w:val="000000"/>
          <w:sz w:val="28"/>
          <w:szCs w:val="28"/>
          <w:lang w:val="en-US"/>
        </w:rPr>
        <w:t xml:space="preserve">'s </w:t>
      </w:r>
      <w:r w:rsidRPr="00A44B24">
        <w:rPr>
          <w:rStyle w:val="anegp0gi0b9av8jahpyh"/>
          <w:i/>
          <w:iCs/>
          <w:color w:val="000000"/>
          <w:sz w:val="28"/>
          <w:szCs w:val="28"/>
          <w:lang w:val="en-US"/>
        </w:rPr>
        <w:t>main</w:t>
      </w:r>
      <w:r w:rsidRPr="00A44B24">
        <w:rPr>
          <w:i/>
          <w:iCs/>
          <w:color w:val="000000"/>
          <w:sz w:val="28"/>
          <w:szCs w:val="28"/>
          <w:lang w:val="en-US"/>
        </w:rPr>
        <w:t xml:space="preserve"> foreign </w:t>
      </w:r>
      <w:r w:rsidRPr="00A44B24">
        <w:rPr>
          <w:rStyle w:val="anegp0gi0b9av8jahpyh"/>
          <w:i/>
          <w:iCs/>
          <w:color w:val="000000"/>
          <w:sz w:val="28"/>
          <w:szCs w:val="28"/>
          <w:lang w:val="en-US"/>
        </w:rPr>
        <w:t>trade</w:t>
      </w:r>
      <w:r w:rsidRPr="00A44B24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A44B24">
        <w:rPr>
          <w:rStyle w:val="anegp0gi0b9av8jahpyh"/>
          <w:i/>
          <w:iCs/>
          <w:color w:val="000000"/>
          <w:sz w:val="28"/>
          <w:szCs w:val="28"/>
          <w:lang w:val="en-US"/>
        </w:rPr>
        <w:t>partners</w:t>
      </w:r>
      <w:r w:rsidRPr="00A44B24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A44B24">
        <w:rPr>
          <w:rStyle w:val="anegp0gi0b9av8jahpyh"/>
          <w:i/>
          <w:iCs/>
          <w:color w:val="000000"/>
          <w:sz w:val="28"/>
          <w:szCs w:val="28"/>
          <w:lang w:val="en-US"/>
        </w:rPr>
        <w:t>(</w:t>
      </w:r>
      <w:r w:rsidRPr="00A44B24">
        <w:rPr>
          <w:i/>
          <w:iCs/>
          <w:color w:val="000000"/>
          <w:sz w:val="28"/>
          <w:szCs w:val="28"/>
          <w:lang w:val="en-US"/>
        </w:rPr>
        <w:t xml:space="preserve">calculated as </w:t>
      </w:r>
      <w:r w:rsidRPr="00A44B24">
        <w:rPr>
          <w:rStyle w:val="anegp0gi0b9av8jahpyh"/>
          <w:i/>
          <w:iCs/>
          <w:color w:val="000000"/>
          <w:sz w:val="28"/>
          <w:szCs w:val="28"/>
          <w:lang w:val="en-US"/>
        </w:rPr>
        <w:t>a</w:t>
      </w:r>
      <w:r w:rsidRPr="00A44B24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A44B24">
        <w:rPr>
          <w:rStyle w:val="anegp0gi0b9av8jahpyh"/>
          <w:i/>
          <w:iCs/>
          <w:color w:val="000000"/>
          <w:sz w:val="28"/>
          <w:szCs w:val="28"/>
          <w:lang w:val="en-US"/>
        </w:rPr>
        <w:t>percentage)</w:t>
      </w:r>
    </w:p>
    <w:p w:rsidR="003B63D3" w:rsidRPr="00A44B24" w:rsidRDefault="003B63D3" w:rsidP="003B63D3">
      <w:pPr>
        <w:jc w:val="both"/>
        <w:rPr>
          <w:color w:val="000000" w:themeColor="text1"/>
          <w:sz w:val="28"/>
          <w:szCs w:val="28"/>
          <w:lang w:val="en-US"/>
        </w:rPr>
      </w:pPr>
      <w:r w:rsidRPr="00A44B24">
        <w:rPr>
          <w:rStyle w:val="ezkurwreuab5ozgtqnkl"/>
          <w:noProof/>
          <w:color w:val="000000" w:themeColor="text1"/>
          <w:sz w:val="28"/>
          <w:szCs w:val="28"/>
        </w:rPr>
        <w:drawing>
          <wp:inline distT="0" distB="0" distL="0" distR="0" wp14:anchorId="601477D2" wp14:editId="0C458BA2">
            <wp:extent cx="5936615" cy="2435225"/>
            <wp:effectExtent l="12700" t="12700" r="6985" b="15875"/>
            <wp:docPr id="15751918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1918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243522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A44B24">
        <w:rPr>
          <w:rStyle w:val="ezkurwreuab5ozgtqnkl"/>
          <w:color w:val="000000"/>
          <w:lang w:val="en-US"/>
        </w:rPr>
        <w:t xml:space="preserve"> </w:t>
      </w:r>
      <w:r w:rsidRPr="00A44B24">
        <w:rPr>
          <w:rStyle w:val="anegp0gi0b9av8jahpyh"/>
          <w:i/>
          <w:iCs/>
          <w:color w:val="000000"/>
          <w:sz w:val="20"/>
          <w:szCs w:val="20"/>
          <w:lang w:val="en-US"/>
        </w:rPr>
        <w:t>Source</w:t>
      </w:r>
      <w:r w:rsidRPr="00A44B24">
        <w:rPr>
          <w:i/>
          <w:sz w:val="20"/>
          <w:szCs w:val="20"/>
          <w:lang w:val="en-US"/>
        </w:rPr>
        <w:t xml:space="preserve">: </w:t>
      </w:r>
      <w:r w:rsidRPr="00A44B24">
        <w:rPr>
          <w:iCs/>
          <w:sz w:val="20"/>
          <w:szCs w:val="20"/>
          <w:lang w:val="en-US"/>
        </w:rPr>
        <w:t>[Caetano, Pose 2023, p. 227].</w:t>
      </w:r>
    </w:p>
    <w:p w:rsidR="003B63D3" w:rsidRDefault="003B63D3" w:rsidP="003B63D3">
      <w:pPr>
        <w:widowControl w:val="0"/>
        <w:autoSpaceDE w:val="0"/>
        <w:autoSpaceDN w:val="0"/>
        <w:adjustRightInd w:val="0"/>
        <w:spacing w:after="240" w:line="360" w:lineRule="auto"/>
        <w:contextualSpacing/>
        <w:jc w:val="right"/>
        <w:rPr>
          <w:i/>
          <w:sz w:val="28"/>
          <w:szCs w:val="28"/>
          <w:lang w:val="en-US"/>
        </w:rPr>
      </w:pPr>
    </w:p>
    <w:p w:rsidR="003B63D3" w:rsidRDefault="003B63D3" w:rsidP="003B63D3">
      <w:pPr>
        <w:widowControl w:val="0"/>
        <w:autoSpaceDE w:val="0"/>
        <w:autoSpaceDN w:val="0"/>
        <w:adjustRightInd w:val="0"/>
        <w:spacing w:after="240" w:line="360" w:lineRule="auto"/>
        <w:contextualSpacing/>
        <w:jc w:val="right"/>
        <w:rPr>
          <w:i/>
          <w:sz w:val="28"/>
          <w:szCs w:val="28"/>
          <w:lang w:val="en-US"/>
        </w:rPr>
      </w:pPr>
    </w:p>
    <w:p w:rsidR="003B63D3" w:rsidRDefault="003B63D3" w:rsidP="003B63D3">
      <w:pPr>
        <w:widowControl w:val="0"/>
        <w:autoSpaceDE w:val="0"/>
        <w:autoSpaceDN w:val="0"/>
        <w:adjustRightInd w:val="0"/>
        <w:spacing w:after="240" w:line="360" w:lineRule="auto"/>
        <w:contextualSpacing/>
        <w:jc w:val="right"/>
        <w:rPr>
          <w:i/>
          <w:sz w:val="28"/>
          <w:szCs w:val="28"/>
          <w:lang w:val="en-US"/>
        </w:rPr>
      </w:pPr>
    </w:p>
    <w:p w:rsidR="003B63D3" w:rsidRDefault="003B63D3" w:rsidP="003B63D3">
      <w:pPr>
        <w:widowControl w:val="0"/>
        <w:autoSpaceDE w:val="0"/>
        <w:autoSpaceDN w:val="0"/>
        <w:adjustRightInd w:val="0"/>
        <w:spacing w:after="240" w:line="360" w:lineRule="auto"/>
        <w:contextualSpacing/>
        <w:jc w:val="right"/>
        <w:rPr>
          <w:i/>
          <w:sz w:val="28"/>
          <w:szCs w:val="28"/>
          <w:lang w:val="en-US"/>
        </w:rPr>
      </w:pPr>
    </w:p>
    <w:p w:rsidR="003B63D3" w:rsidRPr="00614B26" w:rsidRDefault="003B63D3" w:rsidP="003B63D3">
      <w:pPr>
        <w:widowControl w:val="0"/>
        <w:autoSpaceDE w:val="0"/>
        <w:autoSpaceDN w:val="0"/>
        <w:adjustRightInd w:val="0"/>
        <w:spacing w:after="240" w:line="360" w:lineRule="auto"/>
        <w:contextualSpacing/>
        <w:jc w:val="right"/>
        <w:rPr>
          <w:i/>
          <w:sz w:val="28"/>
          <w:szCs w:val="28"/>
          <w:lang w:val="en-US"/>
        </w:rPr>
      </w:pPr>
      <w:r w:rsidRPr="00F85A27">
        <w:rPr>
          <w:i/>
          <w:sz w:val="28"/>
          <w:szCs w:val="28"/>
          <w:lang w:val="en-US"/>
        </w:rPr>
        <w:t>Figure</w:t>
      </w:r>
      <w:r w:rsidRPr="00614B26">
        <w:rPr>
          <w:i/>
          <w:sz w:val="28"/>
          <w:szCs w:val="28"/>
          <w:lang w:val="en-US"/>
        </w:rPr>
        <w:t xml:space="preserve"> 2</w:t>
      </w:r>
    </w:p>
    <w:p w:rsidR="003B63D3" w:rsidRPr="00F21D30" w:rsidRDefault="003B63D3" w:rsidP="003B63D3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i/>
          <w:iCs/>
          <w:color w:val="000000"/>
          <w:sz w:val="28"/>
          <w:szCs w:val="28"/>
          <w:lang w:val="en-US"/>
        </w:rPr>
      </w:pPr>
      <w:r w:rsidRPr="00F21D30">
        <w:rPr>
          <w:i/>
          <w:iCs/>
          <w:color w:val="000000"/>
          <w:sz w:val="28"/>
          <w:szCs w:val="28"/>
          <w:lang w:val="en-US"/>
        </w:rPr>
        <w:t xml:space="preserve">The </w:t>
      </w:r>
      <w:r w:rsidRPr="00F21D30">
        <w:rPr>
          <w:rStyle w:val="anegp0gi0b9av8jahpyh"/>
          <w:i/>
          <w:iCs/>
          <w:color w:val="000000"/>
          <w:sz w:val="28"/>
          <w:szCs w:val="28"/>
          <w:lang w:val="en-US"/>
        </w:rPr>
        <w:t>MERCOSUR</w:t>
      </w:r>
      <w:r w:rsidRPr="00F21D30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F21D30">
        <w:rPr>
          <w:rStyle w:val="anegp0gi0b9av8jahpyh"/>
          <w:i/>
          <w:iCs/>
          <w:color w:val="000000"/>
          <w:sz w:val="28"/>
          <w:szCs w:val="28"/>
          <w:lang w:val="en-US"/>
        </w:rPr>
        <w:t>project:</w:t>
      </w:r>
      <w:r w:rsidRPr="00F21D30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F21D30">
        <w:rPr>
          <w:rStyle w:val="anegp0gi0b9av8jahpyh"/>
          <w:i/>
          <w:iCs/>
          <w:color w:val="000000"/>
          <w:sz w:val="28"/>
          <w:szCs w:val="28"/>
          <w:lang w:val="en-US"/>
        </w:rPr>
        <w:t>political integration impulses (footholds)</w:t>
      </w:r>
      <w:r w:rsidRPr="00F21D30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F21D30">
        <w:rPr>
          <w:rStyle w:val="anegp0gi0b9av8jahpyh"/>
          <w:i/>
          <w:iCs/>
          <w:color w:val="000000"/>
          <w:sz w:val="28"/>
          <w:szCs w:val="28"/>
          <w:lang w:val="en-US"/>
        </w:rPr>
        <w:t>and</w:t>
      </w:r>
      <w:r w:rsidRPr="00F21D30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F21D30">
        <w:rPr>
          <w:rStyle w:val="anegp0gi0b9av8jahpyh"/>
          <w:i/>
          <w:iCs/>
          <w:color w:val="000000"/>
          <w:sz w:val="28"/>
          <w:szCs w:val="28"/>
          <w:lang w:val="en-US"/>
        </w:rPr>
        <w:t>strategic</w:t>
      </w:r>
      <w:r w:rsidRPr="00F21D30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F21D30">
        <w:rPr>
          <w:rStyle w:val="anegp0gi0b9av8jahpyh"/>
          <w:i/>
          <w:iCs/>
          <w:color w:val="000000"/>
          <w:sz w:val="28"/>
          <w:szCs w:val="28"/>
          <w:lang w:val="en-US"/>
        </w:rPr>
        <w:t>development</w:t>
      </w:r>
      <w:r w:rsidRPr="00F21D30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F21D30">
        <w:rPr>
          <w:rStyle w:val="anegp0gi0b9av8jahpyh"/>
          <w:i/>
          <w:iCs/>
          <w:color w:val="000000"/>
          <w:sz w:val="28"/>
          <w:szCs w:val="28"/>
          <w:lang w:val="en-US"/>
        </w:rPr>
        <w:t>prospects (points</w:t>
      </w:r>
      <w:r w:rsidRPr="00F21D30">
        <w:rPr>
          <w:i/>
          <w:iCs/>
          <w:color w:val="000000"/>
          <w:sz w:val="28"/>
          <w:szCs w:val="28"/>
          <w:lang w:val="en-US"/>
        </w:rPr>
        <w:t xml:space="preserve"> of </w:t>
      </w:r>
      <w:r w:rsidRPr="00F21D30">
        <w:rPr>
          <w:rStyle w:val="anegp0gi0b9av8jahpyh"/>
          <w:i/>
          <w:iCs/>
          <w:color w:val="000000"/>
          <w:sz w:val="28"/>
          <w:szCs w:val="28"/>
          <w:lang w:val="en-US"/>
        </w:rPr>
        <w:t>growth)</w:t>
      </w:r>
    </w:p>
    <w:p w:rsidR="003B63D3" w:rsidRPr="00F21D30" w:rsidRDefault="003B63D3" w:rsidP="003B63D3">
      <w:pPr>
        <w:jc w:val="center"/>
        <w:rPr>
          <w:i/>
          <w:iCs/>
          <w:sz w:val="28"/>
          <w:szCs w:val="28"/>
          <w:lang w:val="en-US"/>
        </w:rPr>
      </w:pPr>
      <w:r w:rsidRPr="00F21D30">
        <w:rPr>
          <w:i/>
          <w:iCs/>
          <w:sz w:val="28"/>
          <w:szCs w:val="28"/>
          <w:lang w:val="en-US"/>
        </w:rPr>
        <w:t>Note: Compiled by the author</w:t>
      </w:r>
    </w:p>
    <w:p w:rsidR="00000000" w:rsidRDefault="003B63D3">
      <w:r w:rsidRPr="00F21D30">
        <w:rPr>
          <w:i/>
          <w:noProof/>
        </w:rPr>
        <w:lastRenderedPageBreak/>
        <w:drawing>
          <wp:inline distT="0" distB="0" distL="0" distR="0" wp14:anchorId="410728FC" wp14:editId="4ABC143B">
            <wp:extent cx="5936615" cy="5306060"/>
            <wp:effectExtent l="12700" t="12700" r="6985" b="15240"/>
            <wp:docPr id="7563419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419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530606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B3CF1" w:rsidSect="00CC2CA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D3"/>
    <w:rsid w:val="003B63D3"/>
    <w:rsid w:val="00570FFC"/>
    <w:rsid w:val="005B2AE7"/>
    <w:rsid w:val="00B333DD"/>
    <w:rsid w:val="00CC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078131"/>
  <w15:chartTrackingRefBased/>
  <w15:docId w15:val="{E2AA1C57-8797-BB4F-B22D-2014EAB7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3D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3B63D3"/>
  </w:style>
  <w:style w:type="character" w:customStyle="1" w:styleId="ezkurwreuab5ozgtqnkl">
    <w:name w:val="ezkurwreuab5ozgtqnkl"/>
    <w:basedOn w:val="a0"/>
    <w:rsid w:val="003B63D3"/>
  </w:style>
  <w:style w:type="character" w:styleId="a3">
    <w:name w:val="Hyperlink"/>
    <w:basedOn w:val="a0"/>
    <w:uiPriority w:val="99"/>
    <w:unhideWhenUsed/>
    <w:rsid w:val="003B63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cfr.org/backgrounder/mercosur-south-americas-fractious-trade-bloc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</Words>
  <Characters>601</Characters>
  <Application>Microsoft Office Word</Application>
  <DocSecurity>0</DocSecurity>
  <Lines>10</Lines>
  <Paragraphs>2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Искандер Малов</dc:creator>
  <cp:keywords/>
  <dc:description/>
  <cp:lastModifiedBy>Искандер Малов</cp:lastModifiedBy>
  <cp:revision>1</cp:revision>
  <dcterms:created xsi:type="dcterms:W3CDTF">2025-05-14T08:35:00Z</dcterms:created>
  <dcterms:modified xsi:type="dcterms:W3CDTF">2025-05-14T08:36:00Z</dcterms:modified>
</cp:coreProperties>
</file>